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E8" w:rsidRPr="00E812E8" w:rsidRDefault="00E812E8" w:rsidP="00E812E8">
      <w:pPr>
        <w:shd w:val="clear" w:color="auto" w:fill="FFFFFF"/>
        <w:spacing w:after="0" w:line="240" w:lineRule="auto"/>
        <w:textAlignment w:val="baseline"/>
        <w:outlineLvl w:val="1"/>
        <w:rPr>
          <w:rFonts w:ascii="Lora" w:eastAsia="Times New Roman" w:hAnsi="Lora"/>
          <w:color w:val="777777"/>
          <w:sz w:val="45"/>
          <w:szCs w:val="45"/>
        </w:rPr>
      </w:pPr>
      <w:r w:rsidRPr="00E812E8">
        <w:rPr>
          <w:rFonts w:ascii="inherit" w:eastAsia="Times New Roman" w:hAnsi="inherit"/>
          <w:b/>
          <w:bCs/>
          <w:color w:val="777777"/>
          <w:sz w:val="45"/>
          <w:szCs w:val="45"/>
          <w:bdr w:val="none" w:sz="0" w:space="0" w:color="auto" w:frame="1"/>
        </w:rPr>
        <w:t>Call for Papers</w:t>
      </w:r>
      <w:r>
        <w:rPr>
          <w:rFonts w:ascii="inherit" w:eastAsia="Times New Roman" w:hAnsi="inherit"/>
          <w:b/>
          <w:bCs/>
          <w:color w:val="777777"/>
          <w:sz w:val="45"/>
          <w:szCs w:val="45"/>
          <w:bdr w:val="none" w:sz="0" w:space="0" w:color="auto" w:frame="1"/>
        </w:rPr>
        <w:t>: Religious/Spiritual Experience and Other Domains of Human Activity</w:t>
      </w:r>
    </w:p>
    <w:p w:rsidR="00E812E8" w:rsidRPr="00E812E8" w:rsidRDefault="00E812E8" w:rsidP="00E812E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/>
          <w:color w:val="777777"/>
          <w:sz w:val="21"/>
          <w:szCs w:val="21"/>
        </w:rPr>
      </w:pPr>
    </w:p>
    <w:p w:rsidR="00E812E8" w:rsidRPr="00667A66" w:rsidRDefault="00E812E8" w:rsidP="00E812E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667A66">
        <w:rPr>
          <w:rFonts w:eastAsia="Times New Roman" w:cstheme="minorHAnsi"/>
          <w:sz w:val="22"/>
          <w:szCs w:val="22"/>
        </w:rPr>
        <w:t xml:space="preserve">The Society for the Phenomenology of Religious Experience invites submissions of high-quality abstracts </w:t>
      </w:r>
      <w:r w:rsidRPr="00667A66">
        <w:rPr>
          <w:rFonts w:eastAsia="Times New Roman" w:cstheme="minorHAnsi"/>
        </w:rPr>
        <w:t>of 150-300 words for its group meeting at the Central APA. The APA is currently planning the Central Division meeting at the Palmer House Hilton in Chicago, IL, on February 23-26, 2022, with virtual backup plans. Abstracts should be anonymized and sent by email to </w:t>
      </w:r>
      <w:hyperlink r:id="rId5" w:history="1">
        <w:r w:rsidR="00667A66" w:rsidRPr="00667A66">
          <w:rPr>
            <w:rStyle w:val="Hyperlink"/>
            <w:rFonts w:eastAsia="Times New Roman" w:cstheme="minorHAnsi"/>
            <w:color w:val="auto"/>
            <w:bdr w:val="none" w:sz="0" w:space="0" w:color="auto" w:frame="1"/>
          </w:rPr>
          <w:t>apacentral@sophere.org</w:t>
        </w:r>
      </w:hyperlink>
      <w:r w:rsidRPr="00667A66">
        <w:rPr>
          <w:rFonts w:eastAsia="Times New Roman" w:cstheme="minorHAnsi"/>
        </w:rPr>
        <w:t> before </w:t>
      </w:r>
      <w:r w:rsidRPr="00667A66">
        <w:rPr>
          <w:rFonts w:eastAsia="Times New Roman" w:cstheme="minorHAnsi"/>
          <w:b/>
          <w:bCs/>
          <w:bdr w:val="none" w:sz="0" w:space="0" w:color="auto" w:frame="1"/>
        </w:rPr>
        <w:t>August 15</w:t>
      </w:r>
      <w:r w:rsidRPr="00667A66">
        <w:rPr>
          <w:rFonts w:eastAsia="Times New Roman" w:cstheme="minorHAnsi"/>
        </w:rPr>
        <w:t> with the subject line “Central APA Submission”. Notifications of acceptance will be emailed by </w:t>
      </w:r>
      <w:r w:rsidRPr="00667A66">
        <w:rPr>
          <w:rFonts w:eastAsia="Times New Roman" w:cstheme="minorHAnsi"/>
          <w:b/>
          <w:bCs/>
          <w:bdr w:val="none" w:sz="0" w:space="0" w:color="auto" w:frame="1"/>
        </w:rPr>
        <w:t>Aug 25</w:t>
      </w:r>
      <w:r w:rsidRPr="00667A66">
        <w:rPr>
          <w:rFonts w:eastAsia="Times New Roman" w:cstheme="minorHAnsi"/>
        </w:rPr>
        <w:t>. Paper presentation time should be no more than 20-30 minutes.</w:t>
      </w:r>
      <w:r w:rsidR="00667A66">
        <w:rPr>
          <w:rFonts w:eastAsia="Times New Roman" w:cstheme="minorHAnsi"/>
        </w:rPr>
        <w:t xml:space="preserve"> Presenters will have to be registered members of the APA.</w:t>
      </w:r>
      <w:bookmarkStart w:id="0" w:name="_GoBack"/>
      <w:bookmarkEnd w:id="0"/>
      <w:r w:rsidRPr="00667A66">
        <w:rPr>
          <w:rFonts w:eastAsia="Times New Roman" w:cstheme="minorHAnsi"/>
        </w:rPr>
        <w:t xml:space="preserve"> Selected papers will be published in the special issue of Religions free of charge.</w:t>
      </w:r>
    </w:p>
    <w:p w:rsidR="00E812E8" w:rsidRPr="00E812E8" w:rsidRDefault="00E812E8" w:rsidP="00E812E8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/>
          <w:b/>
          <w:bCs/>
          <w:color w:val="777777"/>
          <w:sz w:val="21"/>
          <w:szCs w:val="21"/>
        </w:rPr>
      </w:pPr>
      <w:r>
        <w:rPr>
          <w:rFonts w:ascii="inherit" w:eastAsia="Times New Roman" w:hAnsi="inherit"/>
          <w:b/>
          <w:bCs/>
          <w:color w:val="777777"/>
          <w:sz w:val="21"/>
          <w:szCs w:val="21"/>
          <w:bdr w:val="none" w:sz="0" w:space="0" w:color="auto" w:frame="1"/>
        </w:rPr>
        <w:t xml:space="preserve"> </w:t>
      </w:r>
    </w:p>
    <w:p w:rsidR="00F04F26" w:rsidRDefault="00AE0DD3">
      <w:r>
        <w:t xml:space="preserve">Alfred Schutz developed a theory of finite provinces of meaning, beginning with pragmatic everyday life and </w:t>
      </w:r>
      <w:proofErr w:type="gramStart"/>
      <w:r>
        <w:t>continuing on</w:t>
      </w:r>
      <w:proofErr w:type="gramEnd"/>
      <w:r>
        <w:t xml:space="preserve"> to suggest a variety of finite provinces of meaning that are not pragmatically motivated as everyday life is and that involve modifications of everyday life. Such provinces of meaning could include: literature, art,</w:t>
      </w:r>
      <w:r w:rsidR="00894E33">
        <w:t xml:space="preserve"> music,</w:t>
      </w:r>
      <w:r>
        <w:t xml:space="preserve"> </w:t>
      </w:r>
      <w:r w:rsidR="00F04F26">
        <w:t xml:space="preserve">play, dreaming, theorizing, </w:t>
      </w:r>
      <w:proofErr w:type="spellStart"/>
      <w:r w:rsidR="00F04F26">
        <w:t>phantasying</w:t>
      </w:r>
      <w:proofErr w:type="spellEnd"/>
      <w:r w:rsidR="00F04F26">
        <w:t xml:space="preserve">, telling a joke, or religious/spiritual experience. </w:t>
      </w:r>
      <w:proofErr w:type="gramStart"/>
      <w:r w:rsidR="00F04F26">
        <w:t xml:space="preserve">On the basis </w:t>
      </w:r>
      <w:r>
        <w:t>of</w:t>
      </w:r>
      <w:proofErr w:type="gramEnd"/>
      <w:r>
        <w:t xml:space="preserve"> his an</w:t>
      </w:r>
      <w:r w:rsidR="00F04F26">
        <w:t>a</w:t>
      </w:r>
      <w:r>
        <w:t xml:space="preserve">lysis of everyday life, he articulated six features of the cognitive style that would pertain to any province of meaning: a form of spontaneity, a tension of consciousness, the way one experiences oneself, a specific </w:t>
      </w:r>
      <w:proofErr w:type="spellStart"/>
      <w:r w:rsidRPr="00AE0DD3">
        <w:rPr>
          <w:i/>
        </w:rPr>
        <w:t>epoch</w:t>
      </w:r>
      <w:r>
        <w:rPr>
          <w:rFonts w:cstheme="minorHAnsi"/>
          <w:i/>
        </w:rPr>
        <w:t>é</w:t>
      </w:r>
      <w:proofErr w:type="spellEnd"/>
      <w:r>
        <w:t xml:space="preserve"> by which one distinguishes the province one inh</w:t>
      </w:r>
      <w:r w:rsidR="00F04F26">
        <w:t>abits from other provinces, a form of</w:t>
      </w:r>
      <w:r>
        <w:t xml:space="preserve"> social relationship, and an understanding of temporality. </w:t>
      </w:r>
      <w:r w:rsidR="00F04F26">
        <w:t>These features would all be modified from the way they are found in everyday life as one passes to a different province of meaning.</w:t>
      </w:r>
    </w:p>
    <w:p w:rsidR="009E6245" w:rsidRDefault="00F04F26">
      <w:r>
        <w:t>We, members of SOPHERE (The Society for the Phenomenology of Religious Experience), hope to sponsor a session at the meeting of the Central branch of the American Philosophical Association to be help in Spring of 2023.</w:t>
      </w:r>
      <w:r w:rsidR="00894E33">
        <w:t xml:space="preserve"> The title of the Session is “Religious/Spiritual Experience and Other Domains of Human Activity.”</w:t>
      </w:r>
      <w:r>
        <w:t xml:space="preserve"> Submissions need not employ Schutzian methodology, but the idea would be to </w:t>
      </w:r>
      <w:proofErr w:type="gramStart"/>
      <w:r>
        <w:t>compare and contrast</w:t>
      </w:r>
      <w:proofErr w:type="gramEnd"/>
      <w:r>
        <w:t xml:space="preserve"> religious or spiritual experience with </w:t>
      </w:r>
      <w:r w:rsidR="00894E33">
        <w:t>other domains of human activity.</w:t>
      </w:r>
      <w:r>
        <w:t xml:space="preserve">  </w:t>
      </w:r>
      <w:r w:rsidR="00894E33">
        <w:t>For example, how is religious or spiritual experience like or different from play? Is religious experience like experience of painting or music? How is religious/spiritual experience like or different from literary experience or from the kind of theorizing one often finds accompanying religious/spiritual experience, e.g., metaphysics or natural theology.</w:t>
      </w:r>
    </w:p>
    <w:p w:rsidR="00894E33" w:rsidRDefault="00894E33">
      <w:r>
        <w:t>Samples of possible questions might be:</w:t>
      </w:r>
    </w:p>
    <w:p w:rsidR="00894E33" w:rsidRDefault="00843BB0" w:rsidP="00894E33">
      <w:pPr>
        <w:pStyle w:val="ListParagraph"/>
        <w:numPr>
          <w:ilvl w:val="0"/>
          <w:numId w:val="1"/>
        </w:numPr>
      </w:pPr>
      <w:r>
        <w:t xml:space="preserve">How does theorizing interact with religious/spiritual experience? Are the standards of philosophical/theological justification altered when dealing with religious experience as certain views on pragmatic encroachment suggest? Can an overly theorized approach to </w:t>
      </w:r>
      <w:r>
        <w:lastRenderedPageBreak/>
        <w:t>religious/spiritual experience distort it? What does one make of discussions in the philosophical tradition about the relationship of faith and reason?</w:t>
      </w:r>
    </w:p>
    <w:p w:rsidR="00843BB0" w:rsidRDefault="00843BB0" w:rsidP="00894E33">
      <w:pPr>
        <w:pStyle w:val="ListParagraph"/>
        <w:numPr>
          <w:ilvl w:val="0"/>
          <w:numId w:val="1"/>
        </w:numPr>
      </w:pPr>
      <w:r>
        <w:t>How is religious/spiritual experience like and different from phantasy?  What would be the implications for a view that religious/spiritual experience is nothing more than an unfounded imaginative projection that flies in the face of reality?</w:t>
      </w:r>
    </w:p>
    <w:p w:rsidR="00843BB0" w:rsidRDefault="00843BB0" w:rsidP="00894E33">
      <w:pPr>
        <w:pStyle w:val="ListParagraph"/>
        <w:numPr>
          <w:ilvl w:val="0"/>
          <w:numId w:val="1"/>
        </w:numPr>
      </w:pPr>
      <w:r>
        <w:t xml:space="preserve">Discuss the role of the body in religious experience, e.g. what </w:t>
      </w:r>
      <w:r w:rsidR="00C91F4F">
        <w:t>role does religious/spiritual ritual play in religious experience? Why do rituals include art, paintings, music, gesture, incense, light</w:t>
      </w:r>
      <w:r w:rsidR="00AE7B0F">
        <w:t xml:space="preserve"> and darkness</w:t>
      </w:r>
      <w:r w:rsidR="00C91F4F">
        <w:t xml:space="preserve">, architecture, the spoken word? Does the sphere of art undergo a transformation when integrated with religious-spiritual experience? Is ritual like and/or different from play? </w:t>
      </w:r>
    </w:p>
    <w:p w:rsidR="00C91F4F" w:rsidRDefault="00C91F4F" w:rsidP="00894E33">
      <w:pPr>
        <w:pStyle w:val="ListParagraph"/>
        <w:numPr>
          <w:ilvl w:val="0"/>
          <w:numId w:val="1"/>
        </w:numPr>
      </w:pPr>
      <w:r>
        <w:t xml:space="preserve">Discuss the place of narrative, sacred texts, and literature in ritual and religious/spiritual experience? </w:t>
      </w:r>
    </w:p>
    <w:p w:rsidR="00C91F4F" w:rsidRDefault="00C91F4F" w:rsidP="00894E33">
      <w:pPr>
        <w:pStyle w:val="ListParagraph"/>
        <w:numPr>
          <w:ilvl w:val="0"/>
          <w:numId w:val="1"/>
        </w:numPr>
      </w:pPr>
      <w:r>
        <w:t>How might one think of religious/spiritual experiences and experiences of awe (e.g. at the sight of a landscape) or forms of play (</w:t>
      </w:r>
      <w:proofErr w:type="spellStart"/>
      <w:r>
        <w:t>eg</w:t>
      </w:r>
      <w:proofErr w:type="spellEnd"/>
      <w:r>
        <w:t>. Sports events or political realities) as para-ritual events?  Are there differences?</w:t>
      </w:r>
    </w:p>
    <w:p w:rsidR="00AE7B0F" w:rsidRDefault="00AE7B0F" w:rsidP="00894E33">
      <w:pPr>
        <w:pStyle w:val="ListParagraph"/>
        <w:numPr>
          <w:ilvl w:val="0"/>
          <w:numId w:val="1"/>
        </w:numPr>
      </w:pPr>
      <w:r>
        <w:t>Can one develop comparisons or contrasts of how religious/spiritual experiences interact with other spheres of activity in different religious communities, e.g. the role of music or narratives in Jewish, Hindu, Muslim, or Christian rituals?</w:t>
      </w:r>
    </w:p>
    <w:p w:rsidR="00E812E8" w:rsidRDefault="00E812E8" w:rsidP="00894E33">
      <w:pPr>
        <w:pStyle w:val="ListParagraph"/>
        <w:numPr>
          <w:ilvl w:val="0"/>
          <w:numId w:val="1"/>
        </w:numPr>
      </w:pPr>
      <w:r>
        <w:t>What is the relationship between religious/spiritual experience and the natural sciences? Is religion inherently inimical to the natural sciences?</w:t>
      </w:r>
    </w:p>
    <w:sectPr w:rsidR="00E8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C53"/>
    <w:multiLevelType w:val="hybridMultilevel"/>
    <w:tmpl w:val="CC546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83"/>
    <w:rsid w:val="004D1083"/>
    <w:rsid w:val="00667A66"/>
    <w:rsid w:val="00843BB0"/>
    <w:rsid w:val="00894E33"/>
    <w:rsid w:val="00926FDA"/>
    <w:rsid w:val="009E6245"/>
    <w:rsid w:val="00AE0DD3"/>
    <w:rsid w:val="00AE7B0F"/>
    <w:rsid w:val="00C91F4F"/>
    <w:rsid w:val="00E812E8"/>
    <w:rsid w:val="00F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3881"/>
  <w15:chartTrackingRefBased/>
  <w15:docId w15:val="{41144FEC-CC09-4FA8-9B69-DFC02016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central@sophe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Barber</dc:creator>
  <cp:keywords/>
  <dc:description/>
  <cp:lastModifiedBy>Michael Barber</cp:lastModifiedBy>
  <cp:revision>4</cp:revision>
  <dcterms:created xsi:type="dcterms:W3CDTF">2022-04-09T14:56:00Z</dcterms:created>
  <dcterms:modified xsi:type="dcterms:W3CDTF">2022-04-18T11:59:00Z</dcterms:modified>
</cp:coreProperties>
</file>